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102"/>
        <w:gridCol w:w="1607"/>
        <w:gridCol w:w="148"/>
        <w:gridCol w:w="72"/>
        <w:gridCol w:w="1560"/>
        <w:gridCol w:w="850"/>
        <w:gridCol w:w="851"/>
        <w:gridCol w:w="350"/>
        <w:gridCol w:w="711"/>
        <w:gridCol w:w="2482"/>
      </w:tblGrid>
      <w:tr w:rsidR="00ED5538" w:rsidRPr="00E6007B" w14:paraId="419C60E5" w14:textId="77777777" w:rsidTr="00BC05BE">
        <w:trPr>
          <w:cantSplit/>
          <w:trHeight w:val="1166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1F2CE"/>
          </w:tcPr>
          <w:p w14:paraId="28B9248D" w14:textId="77777777" w:rsidR="00ED5538" w:rsidRPr="00E6007B" w:rsidRDefault="00ED5538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  <w:t>1a. Modultitel (deutsch)</w:t>
            </w:r>
          </w:p>
          <w:p w14:paraId="1EB284C6" w14:textId="3AF1DFE3" w:rsidR="00ED5538" w:rsidRPr="00E6007B" w:rsidRDefault="00AC1418" w:rsidP="00ED5538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0"/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</w:pPr>
            <w:r w:rsidRPr="00AC1418"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  <w:t>Kommunikation gestalten</w:t>
            </w:r>
          </w:p>
        </w:tc>
      </w:tr>
      <w:tr w:rsidR="00ED5538" w:rsidRPr="00E6007B" w14:paraId="68EC9771" w14:textId="77777777" w:rsidTr="000F0547">
        <w:trPr>
          <w:cantSplit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</w:tcPr>
          <w:p w14:paraId="209AAD07" w14:textId="77777777" w:rsidR="00E6007B" w:rsidRPr="00354216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ED5538" w:rsidRPr="00E6007B" w14:paraId="1C85B319" w14:textId="77777777" w:rsidTr="000F0547">
        <w:trPr>
          <w:cantSplit/>
          <w:trHeight w:val="203"/>
        </w:trPr>
        <w:tc>
          <w:tcPr>
            <w:tcW w:w="10206" w:type="dxa"/>
            <w:gridSpan w:val="11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577AC934" w14:textId="1AE20443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2. Verwendbarkeit des Moduls </w:t>
            </w:r>
          </w:p>
        </w:tc>
      </w:tr>
      <w:tr w:rsidR="000F0547" w:rsidRPr="00E6007B" w14:paraId="0AFC9409" w14:textId="77777777" w:rsidTr="000F0547">
        <w:trPr>
          <w:cantSplit/>
          <w:trHeight w:val="202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50348C70" w14:textId="72DBA265" w:rsidR="00FC2FF7" w:rsidRPr="00E6007B" w:rsidRDefault="00AC1418" w:rsidP="00FE7A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Modul 4 im Micro-Degree-Programm </w:t>
            </w:r>
            <w:r w:rsidRPr="00AC1418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„G</w:t>
            </w:r>
            <w:r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EOT</w:t>
            </w:r>
            <w:r w:rsidRPr="00AC1418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ermie4All“</w:t>
            </w: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br/>
              <w:t>Anrechenbar auf Weiterbildungsprogramme mit Fokus auf Kommunikation und Wissensvermittlung</w:t>
            </w:r>
          </w:p>
        </w:tc>
      </w:tr>
      <w:tr w:rsidR="000F0547" w:rsidRPr="00E6007B" w14:paraId="5A115ED0" w14:textId="77777777" w:rsidTr="00FC2FF7">
        <w:trPr>
          <w:cantSplit/>
          <w:trHeight w:val="40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6C7CD9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3. Modulverantwortliche(r)</w:t>
            </w: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A27467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4. Zuständige Fakultät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1FC8166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5. Modulnummer</w:t>
            </w:r>
          </w:p>
        </w:tc>
      </w:tr>
      <w:tr w:rsidR="000F0547" w:rsidRPr="00E6007B" w14:paraId="07ACDF4F" w14:textId="77777777" w:rsidTr="00FC2FF7">
        <w:trPr>
          <w:cantSplit/>
          <w:trHeight w:val="400"/>
        </w:trPr>
        <w:tc>
          <w:tcPr>
            <w:tcW w:w="3330" w:type="dxa"/>
            <w:gridSpan w:val="4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676F3E22" w14:textId="5BA4998D" w:rsidR="00E6007B" w:rsidRPr="00E6007B" w:rsidRDefault="00AC1418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Florian Kainer</w:t>
            </w: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31AF7FC2" w14:textId="0E55DBAE" w:rsidR="00E6007B" w:rsidRPr="00E6007B" w:rsidRDefault="00FC2FF7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C2FF7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 xml:space="preserve">Institute of Subsurface Energy </w:t>
            </w:r>
            <w:r w:rsidR="00045879" w:rsidRPr="00FC2FF7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S</w:t>
            </w:r>
            <w:r w:rsidR="00045879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ystems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34C51469" w14:textId="60C34D06" w:rsidR="00E6007B" w:rsidRPr="00E6007B" w:rsidRDefault="00C827FE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M4</w:t>
            </w:r>
          </w:p>
        </w:tc>
      </w:tr>
      <w:tr w:rsidR="000F0547" w:rsidRPr="00E6007B" w14:paraId="221B61A9" w14:textId="77777777" w:rsidTr="00FC2FF7">
        <w:trPr>
          <w:cantSplit/>
          <w:trHeight w:val="40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DFF810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6. Sprache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E061DF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7. LP</w:t>
            </w: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BB89BE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8. Dauer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244264A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9. Angebot</w:t>
            </w:r>
          </w:p>
        </w:tc>
      </w:tr>
      <w:tr w:rsidR="000F0547" w:rsidRPr="00E6007B" w14:paraId="065096A3" w14:textId="77777777" w:rsidTr="00FC2FF7">
        <w:trPr>
          <w:cantSplit/>
          <w:trHeight w:val="400"/>
        </w:trPr>
        <w:tc>
          <w:tcPr>
            <w:tcW w:w="1575" w:type="dxa"/>
            <w:gridSpan w:val="2"/>
            <w:vMerge w:val="restart"/>
            <w:tcBorders>
              <w:top w:val="none" w:sz="4" w:space="0" w:color="000000"/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0F7E5CD3" w14:textId="405A4FF5" w:rsidR="00E6007B" w:rsidRPr="00E6007B" w:rsidRDefault="005B1FD6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Deutsch</w:t>
            </w:r>
          </w:p>
        </w:tc>
        <w:tc>
          <w:tcPr>
            <w:tcW w:w="1755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7DBBC89D" w14:textId="54C7924D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6</w:t>
            </w: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280C378E" w14:textId="5EE1FEA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1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77BC1A7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Semester</w:t>
            </w:r>
          </w:p>
        </w:tc>
      </w:tr>
      <w:tr w:rsidR="000F0547" w:rsidRPr="00E6007B" w14:paraId="54CFDAE0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5CAF964C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5725CC7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0217F17" w14:textId="37B0F20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[  </w:t>
            </w:r>
            <w:r w:rsidR="005B1FD6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2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0015865A" w14:textId="45DDBAE8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AC1418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Studienjahr</w:t>
            </w:r>
          </w:p>
        </w:tc>
      </w:tr>
      <w:tr w:rsidR="000F0547" w:rsidRPr="00E6007B" w14:paraId="1D8A78C4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450C955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ECA53D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3005201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DFEDA"/>
          </w:tcPr>
          <w:p w14:paraId="3E56A87C" w14:textId="717D1F54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[</w:t>
            </w:r>
            <w:r w:rsidR="00305072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]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Berufsbegleitend (Blended Learning)</w:t>
            </w:r>
          </w:p>
        </w:tc>
      </w:tr>
      <w:tr w:rsidR="000F0547" w:rsidRPr="00E6007B" w14:paraId="2C014BA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6447A7E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10. Lern-/Qualifikationsziele des Moduls</w:t>
            </w:r>
          </w:p>
        </w:tc>
      </w:tr>
      <w:tr w:rsidR="000F0547" w:rsidRPr="00E6007B" w14:paraId="244DE980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EDA"/>
          </w:tcPr>
          <w:p w14:paraId="35B22C22" w14:textId="77777777" w:rsidR="00AC1418" w:rsidRPr="00AC1418" w:rsidRDefault="00AC1418" w:rsidP="00AC14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Teilnehmende entwickeln praxisnahe Kommunikationskompetenzen zur Vermittlung komplexer Inhalte an verschiedene Zielgruppen. Der Schwerpunkt liegt auf Transfer, Verständlichkeit und aktiver Gesprächsführung – auch unter Nutzung von Simulationen und alltagsnahen Übungen.</w:t>
            </w:r>
          </w:p>
          <w:p w14:paraId="0F53F397" w14:textId="77777777" w:rsidR="00AC1418" w:rsidRPr="00AC1418" w:rsidRDefault="00AC1418" w:rsidP="00AC14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Die Teilnehmenden können:</w:t>
            </w:r>
          </w:p>
          <w:p w14:paraId="22B4962A" w14:textId="77777777" w:rsidR="00AC1418" w:rsidRPr="00AC1418" w:rsidRDefault="00AC1418" w:rsidP="00AC1418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Zielgruppen analysieren und adressieren</w:t>
            </w:r>
          </w:p>
          <w:p w14:paraId="04F1867A" w14:textId="77777777" w:rsidR="00AC1418" w:rsidRPr="00AC1418" w:rsidRDefault="00AC1418" w:rsidP="00AC1418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Kommunikationsstrategien gezielt entwickeln</w:t>
            </w:r>
          </w:p>
          <w:p w14:paraId="40C0B928" w14:textId="77777777" w:rsidR="00AC1418" w:rsidRPr="00AC1418" w:rsidRDefault="00AC1418" w:rsidP="00AC1418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Wirkungsvolle Kommunikationskanäle auswählen</w:t>
            </w:r>
          </w:p>
          <w:p w14:paraId="3C8C0E45" w14:textId="77777777" w:rsidR="00AC1418" w:rsidRPr="00AC1418" w:rsidRDefault="00AC1418" w:rsidP="00AC1418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Gesprächssituationen konstruktiv gestalten (z.</w:t>
            </w:r>
            <w:r w:rsidRPr="00AC1418">
              <w:rPr>
                <w:rFonts w:ascii="Times New Roman" w:eastAsia="Times New Roman" w:hAnsi="Times New Roman" w:cs="Times New Roman"/>
                <w:sz w:val="20"/>
                <w:lang w:eastAsia="de-DE"/>
              </w:rPr>
              <w:t> </w:t>
            </w: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B. mit aktivem Zuh</w:t>
            </w:r>
            <w:r w:rsidRPr="00AC1418">
              <w:rPr>
                <w:rFonts w:ascii="StoneSansITCStd" w:eastAsia="Times New Roman" w:hAnsi="StoneSansITCStd" w:cs="StoneSansITCStd"/>
                <w:sz w:val="20"/>
                <w:lang w:eastAsia="de-DE"/>
              </w:rPr>
              <w:t>ö</w:t>
            </w: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ren)</w:t>
            </w:r>
          </w:p>
          <w:p w14:paraId="640C45A1" w14:textId="77777777" w:rsidR="00AC1418" w:rsidRPr="00AC1418" w:rsidRDefault="00AC1418" w:rsidP="00AC1418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Strategien evaluieren und weiterentwickeln</w:t>
            </w:r>
          </w:p>
          <w:p w14:paraId="48C0B789" w14:textId="41D2AA4E" w:rsidR="00E67973" w:rsidRPr="00E67973" w:rsidRDefault="00AC1418" w:rsidP="00E679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Kommunikation kreativ und verständlich visualisieren</w:t>
            </w:r>
          </w:p>
        </w:tc>
      </w:tr>
      <w:tr w:rsidR="000F0547" w:rsidRPr="00E6007B" w14:paraId="0E89148E" w14:textId="77777777" w:rsidTr="00354216">
        <w:trPr>
          <w:cantSplit/>
          <w:trHeight w:val="396"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FFFFFF"/>
          </w:tcPr>
          <w:p w14:paraId="5C038819" w14:textId="4B280507" w:rsidR="00E67973" w:rsidRPr="00E6007B" w:rsidRDefault="00E6797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0F0547" w:rsidRPr="00E6007B" w14:paraId="0D38E187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DEEAF6"/>
          </w:tcPr>
          <w:p w14:paraId="3BE64D86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Lehrveranstaltungen</w:t>
            </w:r>
          </w:p>
        </w:tc>
      </w:tr>
      <w:tr w:rsidR="000F0547" w:rsidRPr="00E6007B" w14:paraId="3D61C73F" w14:textId="77777777" w:rsidTr="00C827FE">
        <w:trPr>
          <w:cantSplit/>
          <w:trHeight w:val="400"/>
        </w:trPr>
        <w:tc>
          <w:tcPr>
            <w:tcW w:w="473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5A30B55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11.Nr.</w:t>
            </w:r>
          </w:p>
        </w:tc>
        <w:tc>
          <w:tcPr>
            <w:tcW w:w="2929" w:type="dxa"/>
            <w:gridSpan w:val="4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9A96E0D" w14:textId="062E11E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12. Lehrveranstaltungstitel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(deutsch)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3EF98F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13. Dozent(in)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9CC87C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14.  LV-Nr.</w:t>
            </w:r>
          </w:p>
        </w:tc>
        <w:tc>
          <w:tcPr>
            <w:tcW w:w="1201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6810E9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15.       LV-Art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001AA7E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16.  SWS</w:t>
            </w:r>
          </w:p>
        </w:tc>
        <w:tc>
          <w:tcPr>
            <w:tcW w:w="248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</w:tcPr>
          <w:p w14:paraId="19A72C7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40" w:lineRule="exact"/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17. Arbeitsaufwand 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Präsenz-/Eigenstudium</w:t>
            </w:r>
          </w:p>
        </w:tc>
      </w:tr>
      <w:tr w:rsidR="000F0547" w:rsidRPr="00E6007B" w14:paraId="6AD4EA2E" w14:textId="77777777" w:rsidTr="00C827FE">
        <w:trPr>
          <w:cantSplit/>
          <w:trHeight w:val="403"/>
        </w:trPr>
        <w:tc>
          <w:tcPr>
            <w:tcW w:w="47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80F3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5F7B2" w14:textId="637D95FE" w:rsidR="00E6007B" w:rsidRPr="00E6007B" w:rsidRDefault="00AC1418" w:rsidP="005B1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bCs/>
                <w:sz w:val="20"/>
                <w:lang w:eastAsia="de-DE"/>
              </w:rPr>
              <w:t>Kommunikation gestalten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367D" w14:textId="033087C3" w:rsidR="00E6007B" w:rsidRPr="00E6007B" w:rsidRDefault="00AC1418" w:rsidP="00BE03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75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Florian Kainer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368B" w14:textId="0851AFF1" w:rsidR="00E6007B" w:rsidRPr="00E6007B" w:rsidRDefault="00C827FE" w:rsidP="00FC2F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M4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06A3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V/Ü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3D50" w14:textId="67F2E099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4E079" w14:textId="77777777" w:rsidR="00E67973" w:rsidRDefault="00E6797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  <w:p w14:paraId="584504C5" w14:textId="26CC46CD" w:rsidR="00E67973" w:rsidRPr="00E6007B" w:rsidRDefault="007604BA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7604BA">
              <w:rPr>
                <w:rFonts w:ascii="StoneSansITCStd" w:eastAsia="Times New Roman" w:hAnsi="StoneSansITCStd" w:cs="Arial"/>
                <w:sz w:val="20"/>
                <w:lang w:eastAsia="de-DE"/>
              </w:rPr>
              <w:t>3 × Online, 2 Tage Präsenz, Selbststudium</w:t>
            </w:r>
          </w:p>
        </w:tc>
      </w:tr>
      <w:tr w:rsidR="00D52587" w:rsidRPr="00E6007B" w14:paraId="39237EC8" w14:textId="77777777" w:rsidTr="000F0547">
        <w:trPr>
          <w:cantSplit/>
          <w:trHeight w:val="400"/>
        </w:trPr>
        <w:tc>
          <w:tcPr>
            <w:tcW w:w="7013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8E724" w14:textId="77777777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righ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lastRenderedPageBreak/>
              <w:t>Summe: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104C" w14:textId="55B4F504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85D86" w14:textId="77777777" w:rsidR="00D52587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  <w:p w14:paraId="19D88E29" w14:textId="77777777" w:rsidR="00D52587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42 h / 160 h</w:t>
            </w:r>
          </w:p>
          <w:p w14:paraId="3AD5DA46" w14:textId="66F88E46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</w:tr>
      <w:tr w:rsidR="00D52587" w:rsidRPr="00E6007B" w14:paraId="640C5C5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1C37FD9" w14:textId="5702F2D2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Zu Nr. 1:</w:t>
            </w:r>
          </w:p>
        </w:tc>
      </w:tr>
      <w:tr w:rsidR="00D52587" w:rsidRPr="00E6007B" w14:paraId="160A1EFC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93FF58F" w14:textId="77777777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18a. Empf. Voraussetzungen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5B5F" w14:textId="52DA2A2A" w:rsidR="00D52587" w:rsidRPr="00BE0311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323B2B">
              <w:rPr>
                <w:rFonts w:ascii="StoneSansITCStd" w:eastAsia="Times New Roman" w:hAnsi="StoneSansITCStd" w:cs="Arial"/>
                <w:sz w:val="20"/>
                <w:lang w:eastAsia="de-DE"/>
              </w:rPr>
              <w:t>Keine Vorkenntnisse erforderlich – Offenheit für kreative Methoden wird empfohlen</w:t>
            </w:r>
          </w:p>
        </w:tc>
      </w:tr>
      <w:tr w:rsidR="00D52587" w:rsidRPr="00E6007B" w14:paraId="37A31D36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D536A5D" w14:textId="77777777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19a. Inhalte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8533D" w14:textId="6A7BBE56" w:rsidR="00D52587" w:rsidRPr="00AC1418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Einführung in die Kommunikationspsychologie</w:t>
            </w:r>
          </w:p>
          <w:p w14:paraId="597E431F" w14:textId="3271052F" w:rsidR="00D52587" w:rsidRPr="00AC1418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Zielgruppenanalyse und Persona-Arbeit</w:t>
            </w:r>
          </w:p>
          <w:p w14:paraId="5BE1DD11" w14:textId="4D0FD828" w:rsidR="00D52587" w:rsidRPr="00AC1418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Kommunikationskanäle und ihre Wirkungsweisen</w:t>
            </w:r>
          </w:p>
          <w:p w14:paraId="02EAC918" w14:textId="1CB88E6C" w:rsidR="00D52587" w:rsidRPr="00AC1418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Rollenspiele zur Gesprächsführung</w:t>
            </w:r>
          </w:p>
          <w:p w14:paraId="04315120" w14:textId="2C472E11" w:rsidR="00D52587" w:rsidRPr="00AC1418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Entwicklung und Präsentation eigener Kommunikationsstrategien</w:t>
            </w:r>
          </w:p>
          <w:p w14:paraId="7301DCF7" w14:textId="76046477" w:rsidR="00D52587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Reflexion durch Alltagsexperimente</w:t>
            </w:r>
          </w:p>
          <w:p w14:paraId="218F0ED6" w14:textId="70C263DB" w:rsidR="00D52587" w:rsidRPr="00AC1418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Transferformate: z.</w:t>
            </w:r>
            <w:r w:rsidRPr="000501C8">
              <w:rPr>
                <w:rFonts w:ascii="Times New Roman" w:eastAsia="Times New Roman" w:hAnsi="Times New Roman" w:cs="Times New Roman"/>
                <w:sz w:val="20"/>
                <w:lang w:eastAsia="de-DE"/>
              </w:rPr>
              <w:t> </w:t>
            </w: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B. Energiewende-Planspiel f</w:t>
            </w:r>
            <w:r w:rsidRPr="000501C8">
              <w:rPr>
                <w:rFonts w:ascii="StoneSansITCStd" w:eastAsia="Times New Roman" w:hAnsi="StoneSansITCStd" w:cs="StoneSansITCStd"/>
                <w:sz w:val="20"/>
                <w:lang w:eastAsia="de-DE"/>
              </w:rPr>
              <w:t>ü</w:t>
            </w: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r Kinder</w:t>
            </w:r>
          </w:p>
          <w:p w14:paraId="2561E536" w14:textId="32DBA5CC" w:rsidR="00D52587" w:rsidRPr="00AC1418" w:rsidRDefault="00D52587" w:rsidP="00D52587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C1418">
              <w:rPr>
                <w:rFonts w:ascii="StoneSansITCStd" w:eastAsia="Times New Roman" w:hAnsi="StoneSansITCStd" w:cs="Arial"/>
                <w:sz w:val="20"/>
                <w:lang w:eastAsia="de-DE"/>
              </w:rPr>
              <w:t>Erstellung eines Planspiels für Fachfremde</w:t>
            </w:r>
          </w:p>
        </w:tc>
      </w:tr>
      <w:tr w:rsidR="00D52587" w:rsidRPr="00E6007B" w14:paraId="21DCEADD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7A47D3B" w14:textId="77777777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20a. Medienformen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0B246" w14:textId="61CCD156" w:rsidR="00D52587" w:rsidRPr="000501C8" w:rsidRDefault="00D52587" w:rsidP="00D52587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Online-Lernplattform (Moodle)</w:t>
            </w:r>
          </w:p>
          <w:p w14:paraId="35540C22" w14:textId="0D4384AC" w:rsidR="00D52587" w:rsidRPr="000501C8" w:rsidRDefault="00D52587" w:rsidP="00D52587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Video-Impulse und Aufgaben</w:t>
            </w:r>
          </w:p>
          <w:p w14:paraId="746252FC" w14:textId="35163CDE" w:rsidR="00D52587" w:rsidRPr="000501C8" w:rsidRDefault="00D52587" w:rsidP="00D52587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Live</w:t>
            </w: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-Ü</w:t>
            </w: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bungen (Rollenspiele, Planspiel)</w:t>
            </w:r>
          </w:p>
          <w:p w14:paraId="7B167731" w14:textId="380D0336" w:rsidR="00D52587" w:rsidRPr="000501C8" w:rsidRDefault="00D52587" w:rsidP="00D52587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Praxisprojekte in Gruppen</w:t>
            </w:r>
          </w:p>
          <w:p w14:paraId="01407BE0" w14:textId="61A98237" w:rsidR="00D52587" w:rsidRPr="000501C8" w:rsidRDefault="00D52587" w:rsidP="00D52587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0501C8">
              <w:rPr>
                <w:rFonts w:ascii="StoneSansITCStd" w:eastAsia="Times New Roman" w:hAnsi="StoneSansITCStd" w:cs="Arial"/>
                <w:sz w:val="20"/>
                <w:lang w:eastAsia="de-DE"/>
              </w:rPr>
              <w:t>Fallanalysen und schriftliche Reflexion</w:t>
            </w:r>
          </w:p>
        </w:tc>
      </w:tr>
      <w:tr w:rsidR="00D52587" w:rsidRPr="00E6007B" w14:paraId="3082791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32AD363" w14:textId="77777777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21a. Literatur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91E18" w14:textId="4BB97858" w:rsidR="00D52587" w:rsidRPr="002D697D" w:rsidRDefault="00D52587" w:rsidP="00D52587">
            <w:pPr>
              <w:pStyle w:val="Listenabsatz"/>
              <w:numPr>
                <w:ilvl w:val="0"/>
                <w:numId w:val="1"/>
              </w:numP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697D">
              <w:rPr>
                <w:rFonts w:ascii="StoneSansITCStd" w:eastAsia="Times New Roman" w:hAnsi="StoneSansITCStd" w:cs="Arial"/>
                <w:sz w:val="20"/>
                <w:lang w:eastAsia="de-DE"/>
              </w:rPr>
              <w:t>Schulz von Thun: Miteinander reden</w:t>
            </w:r>
          </w:p>
          <w:p w14:paraId="6EC443E0" w14:textId="41B6F5DF" w:rsidR="00D52587" w:rsidRPr="002D697D" w:rsidRDefault="00D52587" w:rsidP="00D52587">
            <w:pPr>
              <w:pStyle w:val="Listenabsatz"/>
              <w:numPr>
                <w:ilvl w:val="0"/>
                <w:numId w:val="1"/>
              </w:numP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val="en-US" w:eastAsia="de-DE"/>
              </w:rPr>
            </w:pPr>
            <w:r w:rsidRPr="002D697D">
              <w:rPr>
                <w:rFonts w:ascii="StoneSansITCStd" w:eastAsia="Times New Roman" w:hAnsi="StoneSansITCStd" w:cs="Arial"/>
                <w:sz w:val="20"/>
                <w:lang w:val="en-US" w:eastAsia="de-DE"/>
              </w:rPr>
              <w:t>Simon Sinek: Start with Why</w:t>
            </w:r>
          </w:p>
          <w:p w14:paraId="68A1A41A" w14:textId="4739CA6E" w:rsidR="00D52587" w:rsidRDefault="00D52587" w:rsidP="00D52587">
            <w:pPr>
              <w:pStyle w:val="Listenabsatz"/>
              <w:numPr>
                <w:ilvl w:val="0"/>
                <w:numId w:val="1"/>
              </w:numP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697D">
              <w:rPr>
                <w:rFonts w:ascii="StoneSansITCStd" w:eastAsia="Times New Roman" w:hAnsi="StoneSansITCStd" w:cs="Arial"/>
                <w:sz w:val="20"/>
                <w:lang w:eastAsia="de-DE"/>
              </w:rPr>
              <w:t>Aktuelle Fachartikel zur Energiewendekommunikation</w:t>
            </w:r>
          </w:p>
          <w:p w14:paraId="5C7C8836" w14:textId="364DFAF7" w:rsidR="00D52587" w:rsidRPr="002D697D" w:rsidRDefault="00D52587" w:rsidP="00D52587">
            <w:pPr>
              <w:pStyle w:val="Listenabsatz"/>
              <w:numPr>
                <w:ilvl w:val="0"/>
                <w:numId w:val="1"/>
              </w:numP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697D">
              <w:rPr>
                <w:rFonts w:ascii="StoneSansITCStd" w:eastAsia="Times New Roman" w:hAnsi="StoneSansITCStd" w:cs="Arial"/>
                <w:sz w:val="20"/>
                <w:lang w:eastAsia="de-DE"/>
              </w:rPr>
              <w:t>Praxisleitfäden für Wissensvermittlung</w:t>
            </w:r>
          </w:p>
        </w:tc>
      </w:tr>
      <w:tr w:rsidR="00D52587" w:rsidRPr="00E6007B" w14:paraId="45D7987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86BB89A" w14:textId="77777777" w:rsidR="00D52587" w:rsidRPr="00E6007B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22a. Sonstiges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5B898" w14:textId="6B0CCDAA" w:rsidR="00D52587" w:rsidRPr="00FC2FF7" w:rsidRDefault="00D52587" w:rsidP="00D52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A81DCE">
              <w:rPr>
                <w:rFonts w:ascii="StoneSansITCStd" w:eastAsia="Times New Roman" w:hAnsi="StoneSansITCStd" w:cs="Arial"/>
                <w:sz w:val="20"/>
                <w:lang w:eastAsia="de-DE"/>
              </w:rPr>
              <w:t>Kurs schließt mit einer kreativen Transferleistung ab – z.</w:t>
            </w:r>
            <w:r w:rsidRPr="00A81DCE">
              <w:rPr>
                <w:rFonts w:ascii="Times New Roman" w:eastAsia="Times New Roman" w:hAnsi="Times New Roman" w:cs="Times New Roman"/>
                <w:sz w:val="20"/>
                <w:lang w:eastAsia="de-DE"/>
              </w:rPr>
              <w:t> </w:t>
            </w:r>
            <w:r w:rsidRPr="00A81DCE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B. einem Spiel, Video oder Workshopkonzept zur Vermittlung geothermischer Inhalte an die </w:t>
            </w:r>
            <w:r w:rsidRPr="00A81DCE">
              <w:rPr>
                <w:rFonts w:ascii="StoneSansITCStd" w:eastAsia="Times New Roman" w:hAnsi="StoneSansITCStd" w:cs="StoneSansITCStd"/>
                <w:sz w:val="20"/>
                <w:lang w:eastAsia="de-DE"/>
              </w:rPr>
              <w:t>Ö</w:t>
            </w:r>
            <w:r w:rsidRPr="00A81DCE">
              <w:rPr>
                <w:rFonts w:ascii="StoneSansITCStd" w:eastAsia="Times New Roman" w:hAnsi="StoneSansITCStd" w:cs="Arial"/>
                <w:sz w:val="20"/>
                <w:lang w:eastAsia="de-DE"/>
              </w:rPr>
              <w:t>ffentlichkeit.</w:t>
            </w:r>
          </w:p>
        </w:tc>
      </w:tr>
    </w:tbl>
    <w:p w14:paraId="41639BA0" w14:textId="77777777" w:rsidR="00E84CEB" w:rsidRPr="00E67973" w:rsidRDefault="00E84CEB" w:rsidP="00E679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rPr>
          <w:rFonts w:ascii="StoneSansITCStd" w:eastAsia="Times New Roman" w:hAnsi="StoneSansITCStd" w:cs="Arial"/>
          <w:b/>
          <w:sz w:val="20"/>
          <w:lang w:eastAsia="de-DE"/>
        </w:rPr>
      </w:pPr>
    </w:p>
    <w:p w14:paraId="7A0F5C3B" w14:textId="0DA30DCD" w:rsidR="00E67973" w:rsidRDefault="00E67973" w:rsidP="000F0547">
      <w:pPr>
        <w:ind w:right="425"/>
      </w:pPr>
    </w:p>
    <w:p w14:paraId="43552852" w14:textId="34F8AA21" w:rsidR="00321529" w:rsidRDefault="00321529" w:rsidP="000F0547">
      <w:pPr>
        <w:ind w:right="425"/>
      </w:pPr>
    </w:p>
    <w:p w14:paraId="42A393BF" w14:textId="1867E579" w:rsidR="00321529" w:rsidRDefault="00321529" w:rsidP="000F0547">
      <w:pPr>
        <w:ind w:right="425"/>
      </w:pPr>
    </w:p>
    <w:p w14:paraId="64DB19B0" w14:textId="447560C2" w:rsidR="00321529" w:rsidRDefault="00321529" w:rsidP="000F0547">
      <w:pPr>
        <w:ind w:right="425"/>
      </w:pPr>
    </w:p>
    <w:p w14:paraId="660DDAED" w14:textId="3C9497E1" w:rsidR="00321529" w:rsidRDefault="00321529" w:rsidP="000F0547">
      <w:pPr>
        <w:ind w:right="425"/>
      </w:pPr>
    </w:p>
    <w:p w14:paraId="2B936E27" w14:textId="51F598B9" w:rsidR="00321529" w:rsidRDefault="00321529" w:rsidP="000F0547">
      <w:pPr>
        <w:ind w:right="425"/>
      </w:pPr>
    </w:p>
    <w:p w14:paraId="55F0C0C8" w14:textId="10208EC1" w:rsidR="00321529" w:rsidRDefault="00321529" w:rsidP="000F0547">
      <w:pPr>
        <w:ind w:right="425"/>
      </w:pPr>
    </w:p>
    <w:p w14:paraId="4C112A46" w14:textId="498FA70E" w:rsidR="00321529" w:rsidRDefault="00321529" w:rsidP="000F0547">
      <w:pPr>
        <w:ind w:right="425"/>
      </w:pPr>
    </w:p>
    <w:p w14:paraId="2708A5F2" w14:textId="77777777" w:rsidR="00321529" w:rsidRDefault="00321529" w:rsidP="000F0547">
      <w:pPr>
        <w:ind w:right="425"/>
      </w:pPr>
    </w:p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07"/>
        <w:gridCol w:w="350"/>
        <w:gridCol w:w="160"/>
        <w:gridCol w:w="1683"/>
        <w:gridCol w:w="75"/>
        <w:gridCol w:w="636"/>
        <w:gridCol w:w="1407"/>
        <w:gridCol w:w="2067"/>
      </w:tblGrid>
      <w:tr w:rsidR="006F39BE" w14:paraId="6E8B98A2" w14:textId="77777777" w:rsidTr="002D697D">
        <w:trPr>
          <w:cantSplit/>
        </w:trPr>
        <w:tc>
          <w:tcPr>
            <w:tcW w:w="4178" w:type="dxa"/>
            <w:gridSpan w:val="3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1D1B2A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 w:val="24"/>
                <w:szCs w:val="24"/>
              </w:rPr>
              <w:lastRenderedPageBreak/>
              <w:t>Studien-/Prüfungsleistung</w:t>
            </w:r>
          </w:p>
        </w:tc>
        <w:tc>
          <w:tcPr>
            <w:tcW w:w="160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54BE951E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2E6B767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6BAB9F0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200781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70B7B72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</w:tr>
      <w:tr w:rsidR="006F39BE" w14:paraId="5C29A8C7" w14:textId="77777777" w:rsidTr="002D697D">
        <w:trPr>
          <w:cantSplit/>
        </w:trPr>
        <w:tc>
          <w:tcPr>
            <w:tcW w:w="921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C6B5EFB" w14:textId="77777777" w:rsidR="006F39BE" w:rsidRDefault="006F39BE" w:rsidP="00C80635">
            <w:pPr>
              <w:pStyle w:val="Funotentext"/>
              <w:spacing w:after="60" w:line="340" w:lineRule="exact"/>
              <w:jc w:val="center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23. Nr.</w:t>
            </w:r>
          </w:p>
        </w:tc>
        <w:tc>
          <w:tcPr>
            <w:tcW w:w="290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27C52F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24. Zugeordnete Lehrveranstaltungen</w:t>
            </w:r>
          </w:p>
        </w:tc>
        <w:tc>
          <w:tcPr>
            <w:tcW w:w="2268" w:type="dxa"/>
            <w:gridSpan w:val="4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6C47B9C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25.  P.-typ</w:t>
            </w:r>
          </w:p>
        </w:tc>
        <w:tc>
          <w:tcPr>
            <w:tcW w:w="63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C6D9D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26. LP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9A0534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27. Benotung</w:t>
            </w:r>
          </w:p>
        </w:tc>
        <w:tc>
          <w:tcPr>
            <w:tcW w:w="206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6A82894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28. Anteil an der Modulnote</w:t>
            </w:r>
          </w:p>
        </w:tc>
      </w:tr>
      <w:tr w:rsidR="006F39BE" w14:paraId="61BCC048" w14:textId="77777777" w:rsidTr="002D697D">
        <w:trPr>
          <w:cantSplit/>
          <w:trHeight w:val="403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CD387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  <w:b/>
              </w:rPr>
              <w:t>1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BB7D6" w14:textId="7AF19511" w:rsidR="006F39BE" w:rsidRDefault="00AC1418" w:rsidP="00461CC1">
            <w:pPr>
              <w:pStyle w:val="Funotentext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Kommunikation gestalten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865C3" w14:textId="3BC043F7" w:rsidR="006F39BE" w:rsidRDefault="002D697D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 w:rsidRPr="002D697D">
              <w:rPr>
                <w:rFonts w:ascii="StoneSansITCStd" w:hAnsi="StoneSansITCStd" w:cs="Arial"/>
              </w:rPr>
              <w:t>Präsentation + Reflexionsprotokoll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953A" w14:textId="1E06B927" w:rsidR="006F39BE" w:rsidRDefault="00F35285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6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8C11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benotet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248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100 %</w:t>
            </w:r>
          </w:p>
        </w:tc>
      </w:tr>
      <w:tr w:rsidR="006F39BE" w:rsidRPr="006F39BE" w14:paraId="216C247A" w14:textId="77777777" w:rsidTr="002D697D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212978FA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29. Prüfungsform / Voraussetzung für die Vergabe von LP</w:t>
            </w:r>
          </w:p>
        </w:tc>
        <w:tc>
          <w:tcPr>
            <w:tcW w:w="637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78F28D" w14:textId="49CE1B07" w:rsidR="002D697D" w:rsidRPr="002D697D" w:rsidRDefault="002D697D" w:rsidP="002D697D">
            <w:pPr>
              <w:pStyle w:val="Funotentext"/>
              <w:numPr>
                <w:ilvl w:val="0"/>
                <w:numId w:val="7"/>
              </w:numPr>
              <w:tabs>
                <w:tab w:val="left" w:pos="358"/>
              </w:tabs>
              <w:spacing w:after="60" w:line="340" w:lineRule="exact"/>
              <w:ind w:left="74" w:firstLine="0"/>
              <w:rPr>
                <w:rFonts w:ascii="StoneSansITCStd" w:hAnsi="StoneSansITCStd" w:cs="Arial"/>
              </w:rPr>
            </w:pPr>
            <w:r w:rsidRPr="002D697D">
              <w:rPr>
                <w:rFonts w:ascii="StoneSansITCStd" w:hAnsi="StoneSansITCStd" w:cs="Arial"/>
              </w:rPr>
              <w:t>Fallbearbeitung (Case Study zur Kommunikationsstrategie)</w:t>
            </w:r>
          </w:p>
          <w:p w14:paraId="11FDF16E" w14:textId="12CAC804" w:rsidR="002D697D" w:rsidRPr="002D697D" w:rsidRDefault="002D697D" w:rsidP="002D697D">
            <w:pPr>
              <w:pStyle w:val="Funotentext"/>
              <w:numPr>
                <w:ilvl w:val="0"/>
                <w:numId w:val="7"/>
              </w:numPr>
              <w:tabs>
                <w:tab w:val="left" w:pos="358"/>
              </w:tabs>
              <w:spacing w:after="60" w:line="340" w:lineRule="exact"/>
              <w:ind w:left="74" w:firstLine="0"/>
              <w:rPr>
                <w:rFonts w:ascii="StoneSansITCStd" w:hAnsi="StoneSansITCStd" w:cs="Arial"/>
              </w:rPr>
            </w:pPr>
            <w:r w:rsidRPr="002D697D">
              <w:rPr>
                <w:rFonts w:ascii="StoneSansITCStd" w:hAnsi="StoneSansITCStd" w:cs="Arial"/>
              </w:rPr>
              <w:t>Präsentation des Planspiels in einfacher Sprache</w:t>
            </w:r>
          </w:p>
          <w:p w14:paraId="4F12DB19" w14:textId="3E6D7021" w:rsidR="006F39BE" w:rsidRPr="006F39BE" w:rsidRDefault="002D697D" w:rsidP="002D697D">
            <w:pPr>
              <w:pStyle w:val="Funotentext"/>
              <w:numPr>
                <w:ilvl w:val="0"/>
                <w:numId w:val="7"/>
              </w:numPr>
              <w:tabs>
                <w:tab w:val="left" w:pos="358"/>
              </w:tabs>
              <w:spacing w:after="60" w:line="340" w:lineRule="exact"/>
              <w:ind w:left="74" w:firstLine="0"/>
              <w:rPr>
                <w:rFonts w:ascii="StoneSansITCStd" w:hAnsi="StoneSansITCStd" w:cs="Arial"/>
              </w:rPr>
            </w:pPr>
            <w:r w:rsidRPr="002D697D">
              <w:rPr>
                <w:rFonts w:ascii="StoneSansITCStd" w:hAnsi="StoneSansITCStd" w:cs="Arial"/>
              </w:rPr>
              <w:t>Abgabe eines Reflexionsprotokolls zu Alltagsexperimenten</w:t>
            </w:r>
          </w:p>
        </w:tc>
      </w:tr>
      <w:tr w:rsidR="006F39BE" w14:paraId="5C47F9E1" w14:textId="77777777" w:rsidTr="002D697D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4CC0205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30. Verantwortliche(r) Prüfer(in)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A61A34" w14:textId="1BC46622" w:rsidR="006F39BE" w:rsidRDefault="00AC1418" w:rsidP="00C73406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Florian Kainer</w:t>
            </w:r>
          </w:p>
        </w:tc>
      </w:tr>
      <w:tr w:rsidR="006F39BE" w14:paraId="016BF368" w14:textId="77777777" w:rsidTr="00E84CEB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504A276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31. Prüfungsvorleistungen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D64042" w14:textId="0BCF11E3" w:rsidR="00E84CEB" w:rsidRDefault="00392DEB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A</w:t>
            </w:r>
            <w:r w:rsidR="0055523D" w:rsidRPr="0055523D">
              <w:rPr>
                <w:rFonts w:ascii="StoneSansITCStd" w:hAnsi="StoneSansITCStd" w:cs="Arial"/>
              </w:rPr>
              <w:t>ktive Teilnahme in Online- und Präsenzphasen, Gruppenarbeit</w:t>
            </w:r>
          </w:p>
        </w:tc>
      </w:tr>
    </w:tbl>
    <w:p w14:paraId="649AE04F" w14:textId="4D516F8C" w:rsidR="00E84CEB" w:rsidRDefault="00E84CEB" w:rsidP="00354216">
      <w:pPr>
        <w:ind w:right="425"/>
      </w:pPr>
    </w:p>
    <w:sectPr w:rsidR="00E84CEB" w:rsidSect="00C84CEA">
      <w:headerReference w:type="default" r:id="rId8"/>
      <w:footerReference w:type="default" r:id="rId9"/>
      <w:pgSz w:w="11906" w:h="16838"/>
      <w:pgMar w:top="974" w:right="1417" w:bottom="1134" w:left="1417" w:header="5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072" w14:textId="77777777" w:rsidR="00EB58F3" w:rsidRDefault="00EB58F3" w:rsidP="00C84CEA">
      <w:r>
        <w:separator/>
      </w:r>
    </w:p>
  </w:endnote>
  <w:endnote w:type="continuationSeparator" w:id="0">
    <w:p w14:paraId="01DF6E22" w14:textId="77777777" w:rsidR="00EB58F3" w:rsidRDefault="00EB58F3" w:rsidP="00C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486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056BD5" w14:textId="344ECDAD" w:rsidR="00C84CEA" w:rsidRDefault="00C84CEA" w:rsidP="00C84CE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BE2C48" w14:textId="6488651C" w:rsidR="00C84CEA" w:rsidRDefault="00C84CEA" w:rsidP="00C84CEA">
    <w:pPr>
      <w:pStyle w:val="berschrift2"/>
    </w:pPr>
    <w:r w:rsidRPr="00C84CEA">
      <w:rPr>
        <w:noProof/>
      </w:rPr>
      <w:drawing>
        <wp:inline distT="0" distB="0" distL="0" distR="0" wp14:anchorId="7A846234" wp14:editId="43B86B50">
          <wp:extent cx="1066800" cy="364957"/>
          <wp:effectExtent l="0" t="0" r="0" b="0"/>
          <wp:docPr id="1471292296" name="Grafik 3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614523" name="Grafik 3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807" cy="40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CEA">
      <w:t xml:space="preserve"> </w:t>
    </w:r>
    <w:r w:rsidRPr="00C84CEA">
      <w:rPr>
        <w:noProof/>
      </w:rPr>
      <w:drawing>
        <wp:inline distT="0" distB="0" distL="0" distR="0" wp14:anchorId="14F9B0CF" wp14:editId="4A00B962">
          <wp:extent cx="1488440" cy="406497"/>
          <wp:effectExtent l="0" t="0" r="0" b="0"/>
          <wp:docPr id="1471292297" name="Grafik 2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92677" name="Grafik 2" descr="Ein Bild, das Text, Logo, Symbol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955" cy="460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CEA"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C177" w14:textId="77777777" w:rsidR="00EB58F3" w:rsidRDefault="00EB58F3" w:rsidP="00C84CEA">
      <w:r>
        <w:separator/>
      </w:r>
    </w:p>
  </w:footnote>
  <w:footnote w:type="continuationSeparator" w:id="0">
    <w:p w14:paraId="329C44FF" w14:textId="77777777" w:rsidR="00EB58F3" w:rsidRDefault="00EB58F3" w:rsidP="00C8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5E34" w14:textId="73AB3EC3" w:rsidR="00C84CEA" w:rsidRDefault="00C84CEA" w:rsidP="00E67973">
    <w:pPr>
      <w:pStyle w:val="Kopfzeile"/>
      <w:tabs>
        <w:tab w:val="left" w:pos="8789"/>
      </w:tabs>
      <w:ind w:left="-142"/>
    </w:pPr>
    <w:r>
      <w:rPr>
        <w:noProof/>
      </w:rPr>
      <w:drawing>
        <wp:inline distT="0" distB="0" distL="0" distR="0" wp14:anchorId="6B188DB7" wp14:editId="28018E88">
          <wp:extent cx="1978925" cy="422748"/>
          <wp:effectExtent l="0" t="0" r="2540" b="0"/>
          <wp:docPr id="1471292294" name="Grafik 147129229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03096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980" cy="44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DB51D7">
      <w:t xml:space="preserve"> </w:t>
    </w:r>
    <w:r>
      <w:t xml:space="preserve">         </w:t>
    </w:r>
    <w:r w:rsidR="00E67973">
      <w:t xml:space="preserve">         </w:t>
    </w:r>
    <w:r>
      <w:t xml:space="preserve">           </w:t>
    </w:r>
    <w:r>
      <w:rPr>
        <w:noProof/>
      </w:rPr>
      <w:drawing>
        <wp:inline distT="0" distB="0" distL="0" distR="0" wp14:anchorId="3033F501" wp14:editId="76E274C8">
          <wp:extent cx="878774" cy="494602"/>
          <wp:effectExtent l="0" t="0" r="0" b="1270"/>
          <wp:docPr id="1471292295" name="Grafik 1471292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637" cy="51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D6211" w14:textId="4CA6B539" w:rsidR="00C84CEA" w:rsidRPr="00E67973" w:rsidRDefault="00E67973" w:rsidP="00E67973">
    <w:pPr>
      <w:pStyle w:val="Kopfzeile"/>
      <w:tabs>
        <w:tab w:val="clear" w:pos="9072"/>
        <w:tab w:val="right" w:pos="8789"/>
      </w:tabs>
      <w:spacing w:before="240"/>
      <w:ind w:left="-142"/>
      <w:rPr>
        <w:rFonts w:ascii="Calibri" w:hAnsi="Calibri" w:cs="Calibri"/>
        <w:sz w:val="22"/>
        <w:szCs w:val="22"/>
      </w:rPr>
    </w:pPr>
    <w:r>
      <w:rPr>
        <w:rFonts w:ascii="Sabon Next LT" w:hAnsi="Sabon Next LT" w:cs="Sabon Next LT"/>
        <w:b/>
        <w:bCs/>
        <w:sz w:val="22"/>
        <w:szCs w:val="22"/>
      </w:rPr>
      <w:t xml:space="preserve"> </w:t>
    </w:r>
    <w:r w:rsidR="00C84CEA" w:rsidRPr="00E67973">
      <w:rPr>
        <w:rFonts w:ascii="Calibri" w:hAnsi="Calibri" w:cs="Calibri"/>
        <w:b/>
        <w:bCs/>
      </w:rPr>
      <w:t>GEOThermie4All – Micro Degree für Geothermie als Schlüsselbaustein der Wärmewende</w:t>
    </w:r>
    <w:r w:rsidR="00C84CEA" w:rsidRPr="00E67973">
      <w:rPr>
        <w:rFonts w:ascii="Calibri" w:hAnsi="Calibri" w:cs="Calibri"/>
      </w:rPr>
      <w:t xml:space="preserve">  </w:t>
    </w:r>
  </w:p>
  <w:p w14:paraId="69F2C795" w14:textId="4D1B0937" w:rsidR="00C84CEA" w:rsidRDefault="00C84CEA" w:rsidP="00C84CEA">
    <w:pPr>
      <w:pStyle w:val="Kopfzeile"/>
      <w:ind w:left="-142"/>
    </w:pPr>
    <w:r>
      <w:t xml:space="preserve">            </w:t>
    </w:r>
    <w:r>
      <w:rPr>
        <w:noProof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F10"/>
    <w:multiLevelType w:val="hybridMultilevel"/>
    <w:tmpl w:val="38C2F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1CB"/>
    <w:multiLevelType w:val="hybridMultilevel"/>
    <w:tmpl w:val="DA823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FF"/>
    <w:multiLevelType w:val="hybridMultilevel"/>
    <w:tmpl w:val="E55A5F26"/>
    <w:lvl w:ilvl="0" w:tplc="04070001">
      <w:start w:val="1"/>
      <w:numFmt w:val="bullet"/>
      <w:lvlText w:val=""/>
      <w:lvlJc w:val="left"/>
      <w:pPr>
        <w:ind w:left="847" w:hanging="705"/>
      </w:pPr>
      <w:rPr>
        <w:rFonts w:ascii="Symbol" w:hAnsi="Symbol" w:hint="default"/>
      </w:rPr>
    </w:lvl>
    <w:lvl w:ilvl="1" w:tplc="ACDC1FA4">
      <w:start w:val="3"/>
      <w:numFmt w:val="bullet"/>
      <w:lvlText w:val="•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C4EC4"/>
    <w:multiLevelType w:val="multilevel"/>
    <w:tmpl w:val="1BB2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B717D"/>
    <w:multiLevelType w:val="multilevel"/>
    <w:tmpl w:val="1E7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15652"/>
    <w:multiLevelType w:val="multilevel"/>
    <w:tmpl w:val="B6C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20C19"/>
    <w:multiLevelType w:val="hybridMultilevel"/>
    <w:tmpl w:val="B37AE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7B"/>
    <w:rsid w:val="00045879"/>
    <w:rsid w:val="000501C8"/>
    <w:rsid w:val="00053605"/>
    <w:rsid w:val="000F0547"/>
    <w:rsid w:val="00147A0A"/>
    <w:rsid w:val="001700B6"/>
    <w:rsid w:val="00180810"/>
    <w:rsid w:val="001B05E6"/>
    <w:rsid w:val="001B58EC"/>
    <w:rsid w:val="0020285C"/>
    <w:rsid w:val="00256B91"/>
    <w:rsid w:val="00291D6F"/>
    <w:rsid w:val="002D697D"/>
    <w:rsid w:val="00305072"/>
    <w:rsid w:val="00321529"/>
    <w:rsid w:val="00323B2B"/>
    <w:rsid w:val="00354216"/>
    <w:rsid w:val="0036276A"/>
    <w:rsid w:val="00392DEB"/>
    <w:rsid w:val="0039330B"/>
    <w:rsid w:val="003E430D"/>
    <w:rsid w:val="00400718"/>
    <w:rsid w:val="004360AA"/>
    <w:rsid w:val="00450A38"/>
    <w:rsid w:val="00452D8D"/>
    <w:rsid w:val="00461CC1"/>
    <w:rsid w:val="00470CB9"/>
    <w:rsid w:val="0055523D"/>
    <w:rsid w:val="005B1FD6"/>
    <w:rsid w:val="006530C5"/>
    <w:rsid w:val="00667BB4"/>
    <w:rsid w:val="006D0DA0"/>
    <w:rsid w:val="006D1EBA"/>
    <w:rsid w:val="006F39BE"/>
    <w:rsid w:val="00750994"/>
    <w:rsid w:val="007604BA"/>
    <w:rsid w:val="007C168F"/>
    <w:rsid w:val="00856066"/>
    <w:rsid w:val="00883CF3"/>
    <w:rsid w:val="008B1E30"/>
    <w:rsid w:val="008C159B"/>
    <w:rsid w:val="00962810"/>
    <w:rsid w:val="009812B2"/>
    <w:rsid w:val="00A65F84"/>
    <w:rsid w:val="00A81DCE"/>
    <w:rsid w:val="00AA2B0B"/>
    <w:rsid w:val="00AC1418"/>
    <w:rsid w:val="00BC07E5"/>
    <w:rsid w:val="00BE0311"/>
    <w:rsid w:val="00C16BEA"/>
    <w:rsid w:val="00C73406"/>
    <w:rsid w:val="00C827FE"/>
    <w:rsid w:val="00C84CEA"/>
    <w:rsid w:val="00C92389"/>
    <w:rsid w:val="00CB2871"/>
    <w:rsid w:val="00CD4B2B"/>
    <w:rsid w:val="00D16D26"/>
    <w:rsid w:val="00D52587"/>
    <w:rsid w:val="00DB51D7"/>
    <w:rsid w:val="00E6007B"/>
    <w:rsid w:val="00E67973"/>
    <w:rsid w:val="00E84CEB"/>
    <w:rsid w:val="00EB58F3"/>
    <w:rsid w:val="00ED5538"/>
    <w:rsid w:val="00F0101E"/>
    <w:rsid w:val="00F3457C"/>
    <w:rsid w:val="00F35285"/>
    <w:rsid w:val="00F7212D"/>
    <w:rsid w:val="00FC2FF7"/>
    <w:rsid w:val="00FE755C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78B77"/>
  <w15:chartTrackingRefBased/>
  <w15:docId w15:val="{982D2E72-C191-1A4E-963C-CA857F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0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0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0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0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0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0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0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00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0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00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0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00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00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00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00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007B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semiHidden/>
    <w:qFormat/>
    <w:rsid w:val="006F39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6F39B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9812B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84C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4CEA"/>
  </w:style>
  <w:style w:type="paragraph" w:styleId="Fuzeile">
    <w:name w:val="footer"/>
    <w:basedOn w:val="Standard"/>
    <w:link w:val="FuzeileZchn"/>
    <w:uiPriority w:val="99"/>
    <w:unhideWhenUsed/>
    <w:rsid w:val="00C84C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22350-CA52-774D-9AEB-EDC3E188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 El Bouhlali</dc:creator>
  <cp:keywords/>
  <dc:description/>
  <cp:lastModifiedBy>Yousra El Bouhlali</cp:lastModifiedBy>
  <cp:revision>5</cp:revision>
  <cp:lastPrinted>2025-04-22T11:02:00Z</cp:lastPrinted>
  <dcterms:created xsi:type="dcterms:W3CDTF">2025-04-26T13:44:00Z</dcterms:created>
  <dcterms:modified xsi:type="dcterms:W3CDTF">2025-04-26T13:45:00Z</dcterms:modified>
</cp:coreProperties>
</file>